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jpeg" ContentType="image/jpeg"/>
  <Override PartName="/word/media/image4.jpeg" ContentType="image/jpeg"/>
  <Override PartName="/word/media/image5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footer3.xml.rels" ContentType="application/vnd.openxmlformats-package.relationships+xml"/>
  <Override PartName="/word/_rels/header1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1134" w:right="-1134"/>
        <w:jc w:val="center"/>
        <w:rPr/>
      </w:pPr>
      <w:r>
        <w:rPr/>
        <w:drawing>
          <wp:inline distT="0" distB="0" distL="0" distR="0">
            <wp:extent cx="7652385" cy="10698480"/>
            <wp:effectExtent l="0" t="0" r="0" b="0"/>
            <wp:docPr id="1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 descr="Immagine che contiene testo, schermata, linea, Parallel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38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center" w:pos="4816" w:leader="none"/>
          <w:tab w:val="left" w:pos="8445" w:leader="none"/>
        </w:tabs>
        <w:spacing w:lineRule="auto" w:line="259"/>
        <w:jc w:val="center"/>
        <w:outlineLvl w:val="0"/>
        <w:rPr>
          <w:rFonts w:ascii="Titillium Web" w:hAnsi="Titillium Web" w:eastAsia="Times New Roman" w:cs="Times New Roman"/>
          <w:b/>
          <w:bCs/>
          <w:color w:val="595959"/>
          <w:sz w:val="44"/>
          <w:szCs w:val="44"/>
          <w:lang w:eastAsia="en-US"/>
        </w:rPr>
      </w:pPr>
      <w:r>
        <w:rPr/>
        <w:drawing>
          <wp:inline distT="0" distB="0" distL="0" distR="0">
            <wp:extent cx="990600" cy="990600"/>
            <wp:effectExtent l="0" t="0" r="0" b="0"/>
            <wp:docPr id="2" name="drawi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/>
        <w:jc w:val="center"/>
        <w:outlineLvl w:val="0"/>
        <w:rPr>
          <w:rFonts w:ascii="Titillium Web" w:hAnsi="Titillium Web" w:eastAsia="Times New Roman" w:cs="Times New Roman"/>
          <w:b/>
          <w:bCs/>
          <w:color w:themeColor="accent4" w:themeShade="bf" w:val="5F497A"/>
          <w:sz w:val="44"/>
          <w:szCs w:val="44"/>
          <w:lang w:eastAsia="en-US"/>
        </w:rPr>
      </w:pPr>
      <w:r>
        <w:rPr>
          <w:rFonts w:eastAsia="Times New Roman" w:cs="Times New Roman" w:ascii="Titillium Web" w:hAnsi="Titillium Web"/>
          <w:b/>
          <w:bCs/>
          <w:color w:themeColor="accent4" w:themeShade="bf" w:val="5F497A"/>
          <w:sz w:val="44"/>
          <w:szCs w:val="44"/>
          <w:lang w:eastAsia="en-US"/>
        </w:rPr>
        <w:t>Bilancio iniziale delle competenze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/>
        <w:jc w:val="center"/>
        <w:outlineLvl w:val="0"/>
        <w:rPr>
          <w:rFonts w:ascii="Titillium Web" w:hAnsi="Titillium Web" w:eastAsia="Times New Roman" w:cs="Times New Roman"/>
          <w:b/>
          <w:bCs/>
          <w:color w:themeColor="accent4" w:themeShade="bf" w:val="5F497A"/>
          <w:sz w:val="44"/>
          <w:szCs w:val="44"/>
          <w:lang w:eastAsia="en-US"/>
        </w:rPr>
      </w:pPr>
      <w:r>
        <w:rPr>
          <w:rFonts w:eastAsia="Times New Roman" w:cs="Times New Roman" w:ascii="Titillium Web" w:hAnsi="Titillium Web"/>
          <w:b/>
          <w:bCs/>
          <w:color w:themeColor="accent4" w:themeShade="bf" w:val="5F497A"/>
          <w:sz w:val="44"/>
          <w:szCs w:val="44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240" w:after="0"/>
        <w:jc w:val="center"/>
        <w:outlineLvl w:val="0"/>
        <w:rPr>
          <w:rFonts w:ascii="Titillium Web" w:hAnsi="Titillium Web" w:eastAsia="Times New Roman" w:cs="Times New Roman"/>
          <w:color w:val="2E74B5"/>
          <w:sz w:val="18"/>
          <w:szCs w:val="18"/>
          <w:lang w:eastAsia="en-US"/>
        </w:rPr>
      </w:pPr>
      <w:r>
        <w:rPr>
          <w:rFonts w:eastAsia="Times New Roman" w:cs="Times New Roman" w:ascii="Titillium Web" w:hAnsi="Titillium Web"/>
          <w:color w:val="2E74B5"/>
          <w:sz w:val="18"/>
          <w:szCs w:val="18"/>
          <w:lang w:eastAsia="en-US"/>
        </w:rPr>
      </w:r>
    </w:p>
    <w:p>
      <w:pPr>
        <w:pStyle w:val="Normal"/>
        <w:spacing w:lineRule="auto" w:line="480"/>
        <w:rPr>
          <w:rFonts w:ascii="Titillium Web" w:hAnsi="Titillium Web" w:eastAsia="Calibri" w:cs="Arial"/>
          <w:sz w:val="22"/>
          <w:szCs w:val="22"/>
          <w:lang w:eastAsia="en-US"/>
        </w:rPr>
      </w:pPr>
      <w:r>
        <w:rPr>
          <w:rFonts w:eastAsia="Calibri" w:cs="Arial" w:ascii="Titillium Web" w:hAnsi="Titillium Web"/>
          <w:sz w:val="22"/>
          <w:szCs w:val="22"/>
          <w:lang w:eastAsia="en-US"/>
        </w:rPr>
        <w:t xml:space="preserve">Nome </w:t>
      </w:r>
      <w:r>
        <w:rPr>
          <w:rFonts w:eastAsia="Calibri" w:cs="Arial" w:ascii="Titillium Web" w:hAnsi="Titillium Web"/>
          <w:color w:val="A6A6A6"/>
          <w:lang w:eastAsia="en-US"/>
        </w:rPr>
        <w:t>............................................................................</w:t>
      </w:r>
      <w:r>
        <w:rPr>
          <w:rFonts w:eastAsia="Calibri" w:cs="Arial" w:ascii="Titillium Web" w:hAnsi="Titillium Web"/>
          <w:lang w:eastAsia="en-US"/>
        </w:rPr>
        <w:t xml:space="preserve"> </w:t>
      </w:r>
      <w:r>
        <w:rPr>
          <w:rFonts w:eastAsia="Calibri" w:cs="Arial" w:ascii="Titillium Web" w:hAnsi="Titillium Web"/>
          <w:sz w:val="22"/>
          <w:szCs w:val="22"/>
          <w:lang w:eastAsia="en-US"/>
        </w:rPr>
        <w:t xml:space="preserve"> Cognome </w:t>
      </w:r>
      <w:r>
        <w:rPr>
          <w:rFonts w:eastAsia="Calibri" w:cs="Arial" w:ascii="Titillium Web" w:hAnsi="Titillium Web"/>
          <w:color w:val="A6A6A6"/>
          <w:lang w:eastAsia="en-US"/>
        </w:rPr>
        <w:t>............................................................................</w:t>
      </w:r>
    </w:p>
    <w:p>
      <w:pPr>
        <w:pStyle w:val="Normal"/>
        <w:spacing w:lineRule="auto" w:line="480"/>
        <w:rPr>
          <w:rFonts w:ascii="Titillium Web" w:hAnsi="Titillium Web" w:eastAsia="Calibri" w:cs="Arial"/>
          <w:sz w:val="22"/>
          <w:szCs w:val="22"/>
          <w:lang w:eastAsia="en-US"/>
        </w:rPr>
      </w:pPr>
      <w:r>
        <w:rPr>
          <w:rFonts w:eastAsia="Calibri" w:cs="Arial" w:ascii="Titillium Web" w:hAnsi="Titillium Web"/>
          <w:sz w:val="22"/>
          <w:szCs w:val="22"/>
          <w:lang w:eastAsia="en-US"/>
        </w:rPr>
        <w:t xml:space="preserve">Disciplina di insegnamento </w:t>
      </w:r>
      <w:r>
        <w:rPr>
          <w:rFonts w:eastAsia="Calibri" w:cs="Arial" w:ascii="Titillium Web" w:hAnsi="Titillium Web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>
      <w:pPr>
        <w:pStyle w:val="Normal"/>
        <w:spacing w:lineRule="auto" w:line="276"/>
        <w:rPr>
          <w:rFonts w:ascii="Titillium Web" w:hAnsi="Titillium Web" w:eastAsia="Calibri" w:cs="Arial"/>
          <w:sz w:val="22"/>
          <w:szCs w:val="22"/>
          <w:lang w:eastAsia="en-US"/>
        </w:rPr>
      </w:pPr>
      <w:r>
        <w:rPr>
          <w:rFonts w:eastAsia="Calibri" w:cs="Arial" w:ascii="Titillium Web" w:hAnsi="Titillium Web"/>
          <w:sz w:val="22"/>
          <w:szCs w:val="22"/>
          <w:lang w:eastAsia="en-US"/>
        </w:rPr>
        <w:t xml:space="preserve">Istituto di appartenenza </w:t>
      </w:r>
      <w:r>
        <w:rPr>
          <w:rFonts w:eastAsia="Calibri" w:cs="Arial" w:ascii="Titillium Web" w:hAnsi="Titillium Web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>
      <w:pPr>
        <w:pStyle w:val="Normal"/>
        <w:rPr>
          <w:rFonts w:ascii="Titillium Web" w:hAnsi="Titillium Web" w:eastAsia="Calibri" w:cs="Arial"/>
          <w:sz w:val="22"/>
          <w:szCs w:val="22"/>
          <w:lang w:eastAsia="en-US"/>
        </w:rPr>
      </w:pPr>
      <w:r>
        <w:rPr>
          <w:rFonts w:eastAsia="Calibri" w:cs="Arial" w:ascii="Titillium Web" w:hAnsi="Titillium Web"/>
          <w:sz w:val="22"/>
          <w:szCs w:val="22"/>
          <w:lang w:eastAsia="en-US"/>
        </w:rPr>
      </w:r>
    </w:p>
    <w:p>
      <w:pPr>
        <w:pStyle w:val="Normal"/>
        <w:rPr>
          <w:rFonts w:ascii="Titillium Web" w:hAnsi="Titillium Web" w:eastAsia="Calibri" w:cs="Arial"/>
          <w:sz w:val="22"/>
          <w:szCs w:val="22"/>
          <w:lang w:eastAsia="en-US"/>
        </w:rPr>
      </w:pPr>
      <w:r>
        <w:rPr>
          <w:rFonts w:eastAsia="Calibri" w:cs="Arial" w:ascii="Titillium Web" w:hAnsi="Titillium Web"/>
          <w:sz w:val="22"/>
          <w:szCs w:val="22"/>
          <w:lang w:eastAsia="en-US"/>
        </w:rPr>
        <w:t xml:space="preserve">Sede (città/regione) </w:t>
      </w:r>
      <w:r>
        <w:rPr>
          <w:rFonts w:eastAsia="Calibri" w:cs="Arial" w:ascii="Titillium Web" w:hAnsi="Titillium Web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40" w:after="0"/>
        <w:jc w:val="center"/>
        <w:outlineLvl w:val="1"/>
        <w:rPr>
          <w:rFonts w:ascii="Titillium Web" w:hAnsi="Titillium Web" w:eastAsia="Times New Roman" w:cs="Times New Roman"/>
          <w:b/>
          <w:bCs/>
          <w:sz w:val="16"/>
          <w:szCs w:val="16"/>
          <w:lang w:eastAsia="en-US"/>
        </w:rPr>
      </w:pPr>
      <w:r>
        <w:rPr>
          <w:rFonts w:eastAsia="Times New Roman" w:cs="Times New Roman" w:ascii="Titillium Web" w:hAnsi="Titillium Web"/>
          <w:b/>
          <w:bCs/>
          <w:sz w:val="16"/>
          <w:szCs w:val="1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40" w:after="0"/>
        <w:jc w:val="center"/>
        <w:outlineLvl w:val="1"/>
        <w:rPr>
          <w:rFonts w:ascii="Titillium Web" w:hAnsi="Titillium Web" w:eastAsia="Times New Roman" w:cs="Times New Roman"/>
          <w:b/>
          <w:bCs/>
          <w:sz w:val="16"/>
          <w:szCs w:val="16"/>
          <w:lang w:eastAsia="en-US"/>
        </w:rPr>
      </w:pPr>
      <w:r>
        <w:rPr>
          <w:rFonts w:eastAsia="Times New Roman" w:cs="Times New Roman" w:ascii="Titillium Web" w:hAnsi="Titillium Web"/>
          <w:b/>
          <w:bCs/>
          <w:sz w:val="16"/>
          <w:szCs w:val="1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40" w:after="0"/>
        <w:jc w:val="center"/>
        <w:outlineLvl w:val="1"/>
        <w:rPr>
          <w:rFonts w:ascii="Titillium Web" w:hAnsi="Titillium Web" w:eastAsia="Times New Roman" w:cs="Times New Roman"/>
          <w:b/>
          <w:bCs/>
          <w:sz w:val="16"/>
          <w:szCs w:val="16"/>
          <w:lang w:eastAsia="en-US"/>
        </w:rPr>
      </w:pPr>
      <w:r>
        <w:rPr>
          <w:rFonts w:eastAsia="Times New Roman" w:cs="Times New Roman" w:ascii="Titillium Web" w:hAnsi="Titillium Web"/>
          <w:b/>
          <w:bCs/>
          <w:sz w:val="16"/>
          <w:szCs w:val="1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40" w:after="0"/>
        <w:outlineLvl w:val="1"/>
        <w:rPr>
          <w:rFonts w:ascii="Titillium Web" w:hAnsi="Titillium Web" w:eastAsia="Times New Roman" w:cs="Times New Roman"/>
          <w:b/>
          <w:bCs/>
          <w:sz w:val="16"/>
          <w:szCs w:val="16"/>
          <w:lang w:eastAsia="en-US"/>
        </w:rPr>
      </w:pPr>
      <w:r>
        <w:rPr>
          <w:rFonts w:eastAsia="Times New Roman" w:cs="Times New Roman" w:ascii="Titillium Web" w:hAnsi="Titillium Web"/>
          <w:b/>
          <w:bCs/>
          <w:sz w:val="16"/>
          <w:szCs w:val="16"/>
          <w:lang w:eastAsia="en-US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40" w:after="0"/>
        <w:jc w:val="center"/>
        <w:outlineLvl w:val="1"/>
        <w:rPr>
          <w:rFonts w:ascii="Titillium Web" w:hAnsi="Titillium Web" w:eastAsia="Times New Roman" w:cs="Calibri"/>
          <w:b/>
          <w:bCs/>
          <w:color w:themeColor="accent4" w:themeShade="bf" w:val="5F497A"/>
          <w:sz w:val="28"/>
          <w:szCs w:val="28"/>
          <w:lang w:eastAsia="en-US"/>
        </w:rPr>
      </w:pPr>
      <w:r>
        <w:rPr>
          <w:rFonts w:eastAsia="Times New Roman" w:cs="Calibri" w:ascii="Titillium Web" w:hAnsi="Titillium Web"/>
          <w:b/>
          <w:bCs/>
          <w:color w:themeColor="accent4" w:themeShade="bf" w:val="5F497A"/>
          <w:sz w:val="28"/>
          <w:szCs w:val="28"/>
          <w:lang w:eastAsia="en-US"/>
        </w:rPr>
        <w:t>Livelli di competenza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40" w:after="0"/>
        <w:jc w:val="center"/>
        <w:outlineLvl w:val="1"/>
        <w:rPr>
          <w:rFonts w:ascii="Titillium Web" w:hAnsi="Titillium Web" w:eastAsia="Times New Roman" w:cs="Calibri"/>
          <w:b/>
          <w:bCs/>
          <w:color w:themeColor="accent4" w:themeShade="bf" w:val="5F497A"/>
          <w:sz w:val="28"/>
          <w:szCs w:val="28"/>
          <w:lang w:eastAsia="en-US"/>
        </w:rPr>
      </w:pPr>
      <w:r>
        <w:rPr>
          <w:rFonts w:eastAsia="Times New Roman" w:cs="Calibri" w:ascii="Titillium Web" w:hAnsi="Titillium Web"/>
          <w:b/>
          <w:bCs/>
          <w:color w:themeColor="accent4" w:themeShade="bf" w:val="5F497A"/>
          <w:sz w:val="28"/>
          <w:szCs w:val="28"/>
          <w:lang w:eastAsia="en-US"/>
        </w:rPr>
      </w:r>
    </w:p>
    <w:p>
      <w:pPr>
        <w:pStyle w:val="Normal"/>
        <w:spacing w:lineRule="auto" w:line="259"/>
        <w:jc w:val="center"/>
        <w:rPr>
          <w:rFonts w:ascii="Titillium Web" w:hAnsi="Titillium Web" w:eastAsia="Calibri" w:cs="Arial"/>
          <w:sz w:val="4"/>
          <w:szCs w:val="4"/>
          <w:lang w:eastAsia="en-US"/>
        </w:rPr>
      </w:pPr>
      <w:r>
        <w:rPr>
          <w:rFonts w:eastAsia="Calibri" w:cs="Arial" w:ascii="Titillium Web" w:hAnsi="Titillium Web"/>
          <w:sz w:val="4"/>
          <w:szCs w:val="4"/>
          <w:lang w:eastAsia="en-US"/>
        </w:rPr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val="000000"/>
          <w:sz w:val="20"/>
          <w:szCs w:val="20"/>
          <w:lang w:eastAsia="en-US"/>
        </w:rPr>
      </w:pPr>
      <w:r>
        <w:rPr>
          <w:rFonts w:eastAsia="Calibri" w:cs="Arial" w:ascii="Titillium Web" w:hAnsi="Titillium Web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themeColor="text1" w:val="000000"/>
          <w:sz w:val="20"/>
          <w:szCs w:val="20"/>
          <w:lang w:eastAsia="en-US"/>
        </w:rPr>
      </w:pPr>
      <w:r>
        <w:rPr>
          <w:rFonts w:eastAsia="Calibri" w:cs="Arial" w:ascii="Titillium Web" w:hAnsi="Titillium Web"/>
          <w:color w:themeColor="text1" w:val="000000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>
        <w:rPr>
          <w:rFonts w:eastAsia="Calibri" w:cs="Arial" w:ascii="Titillium Web" w:hAnsi="Titillium Web"/>
          <w:i/>
          <w:iCs/>
          <w:color w:themeColor="text1" w:val="000000"/>
          <w:sz w:val="20"/>
          <w:szCs w:val="20"/>
          <w:lang w:eastAsia="en-US"/>
        </w:rPr>
        <w:t>Legenda del Bilancio iniziale delle competenze</w:t>
      </w:r>
      <w:r>
        <w:rPr>
          <w:rFonts w:eastAsia="Calibri" w:cs="Arial" w:ascii="Titillium Web" w:hAnsi="Titillium Web"/>
          <w:color w:themeColor="text1" w:val="000000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themeColor="text1" w:val="000000"/>
          <w:sz w:val="19"/>
          <w:szCs w:val="19"/>
          <w:lang w:eastAsia="en-US"/>
        </w:rPr>
      </w:pPr>
      <w:r>
        <w:rPr>
          <w:rFonts w:eastAsia="Calibri" w:cs="Arial" w:ascii="Titillium Web" w:hAnsi="Titillium Web"/>
          <w:color w:themeColor="text1" w:val="000000"/>
          <w:sz w:val="19"/>
          <w:szCs w:val="19"/>
          <w:lang w:eastAsia="en-US"/>
        </w:rPr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themeColor="text1" w:val="000000"/>
          <w:sz w:val="19"/>
          <w:szCs w:val="19"/>
          <w:lang w:eastAsia="en-US"/>
        </w:rPr>
      </w:pPr>
      <w:r>
        <w:rPr>
          <w:rFonts w:eastAsia="Calibri" w:cs="Arial" w:ascii="Titillium Web" w:hAnsi="Titillium Web"/>
          <w:color w:themeColor="text1" w:val="000000"/>
          <w:sz w:val="19"/>
          <w:szCs w:val="19"/>
          <w:lang w:eastAsia="en-US"/>
        </w:rPr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themeColor="text1" w:val="000000"/>
          <w:sz w:val="19"/>
          <w:szCs w:val="19"/>
          <w:lang w:eastAsia="en-US"/>
        </w:rPr>
      </w:pPr>
      <w:r>
        <w:rPr>
          <w:rFonts w:eastAsia="Calibri" w:cs="Arial" w:ascii="Titillium Web" w:hAnsi="Titillium Web"/>
          <w:color w:themeColor="text1" w:val="000000"/>
          <w:sz w:val="19"/>
          <w:szCs w:val="19"/>
          <w:lang w:eastAsia="en-US"/>
        </w:rPr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themeColor="text1" w:val="000000"/>
          <w:sz w:val="19"/>
          <w:szCs w:val="19"/>
          <w:lang w:eastAsia="en-US"/>
        </w:rPr>
      </w:pPr>
      <w:r>
        <w:rPr>
          <w:rFonts w:eastAsia="Calibri" w:cs="Arial" w:ascii="Titillium Web" w:hAnsi="Titillium Web"/>
          <w:color w:themeColor="text1" w:val="000000"/>
          <w:sz w:val="19"/>
          <w:szCs w:val="19"/>
          <w:lang w:eastAsia="en-US"/>
        </w:rPr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themeColor="text1" w:val="000000"/>
          <w:sz w:val="19"/>
          <w:szCs w:val="19"/>
          <w:lang w:eastAsia="en-US"/>
        </w:rPr>
      </w:pPr>
      <w:r>
        <w:rPr>
          <w:rFonts w:eastAsia="Calibri" w:cs="Arial" w:ascii="Titillium Web" w:hAnsi="Titillium Web"/>
          <w:color w:themeColor="text1" w:val="000000"/>
          <w:sz w:val="19"/>
          <w:szCs w:val="19"/>
          <w:lang w:eastAsia="en-US"/>
        </w:rPr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themeColor="text1" w:val="000000"/>
          <w:sz w:val="19"/>
          <w:szCs w:val="19"/>
          <w:lang w:eastAsia="en-US"/>
        </w:rPr>
      </w:pPr>
      <w:r>
        <w:rPr>
          <w:rFonts w:eastAsia="Calibri" w:cs="Arial" w:ascii="Titillium Web" w:hAnsi="Titillium Web"/>
          <w:color w:themeColor="text1" w:val="000000"/>
          <w:sz w:val="19"/>
          <w:szCs w:val="19"/>
          <w:lang w:eastAsia="en-US"/>
        </w:rPr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themeColor="text1" w:val="000000"/>
          <w:sz w:val="19"/>
          <w:szCs w:val="19"/>
          <w:lang w:eastAsia="en-US"/>
        </w:rPr>
      </w:pPr>
      <w:r>
        <w:rPr>
          <w:rFonts w:eastAsia="Calibri" w:cs="Arial" w:ascii="Titillium Web" w:hAnsi="Titillium Web"/>
          <w:color w:themeColor="text1" w:val="000000"/>
          <w:sz w:val="19"/>
          <w:szCs w:val="19"/>
          <w:lang w:eastAsia="en-US"/>
        </w:rPr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themeColor="text1" w:val="000000"/>
          <w:sz w:val="19"/>
          <w:szCs w:val="19"/>
          <w:lang w:eastAsia="en-US"/>
        </w:rPr>
      </w:pPr>
      <w:r>
        <w:rPr>
          <w:rFonts w:eastAsia="Calibri" w:cs="Arial" w:ascii="Titillium Web" w:hAnsi="Titillium Web"/>
          <w:color w:themeColor="text1" w:val="000000"/>
          <w:sz w:val="19"/>
          <w:szCs w:val="19"/>
          <w:lang w:eastAsia="en-US"/>
        </w:rPr>
      </w:r>
    </w:p>
    <w:p>
      <w:pPr>
        <w:pStyle w:val="Normal"/>
        <w:spacing w:lineRule="auto" w:line="259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tbl>
      <w:tblPr>
        <w:tblStyle w:val="Grigliatabella1"/>
        <w:tblW w:w="66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75"/>
      </w:tblGrid>
      <w:tr>
        <w:trPr>
          <w:trHeight w:val="300" w:hRule="atLeast"/>
        </w:trPr>
        <w:tc>
          <w:tcPr>
            <w:tcW w:w="6675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4"/>
                <w:szCs w:val="4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b/>
                <w:bCs/>
                <w:color w:val="595959"/>
                <w:kern w:val="0"/>
                <w:sz w:val="19"/>
                <w:szCs w:val="19"/>
                <w:lang w:val="it-IT" w:eastAsia="it-IT" w:bidi="ar-SA"/>
              </w:rPr>
              <w:t>Nessuna = Livello 0</w:t>
            </w:r>
          </w:p>
          <w:p>
            <w:pPr>
              <w:pStyle w:val="Normal"/>
              <w:widowControl/>
              <w:spacing w:before="0" w:after="0"/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kern w:val="0"/>
                <w:sz w:val="19"/>
                <w:szCs w:val="19"/>
                <w:lang w:val="it-IT" w:eastAsia="it-IT" w:bidi="ar-SA"/>
              </w:rPr>
              <w:t>La competenza non è stata mai sperimentata.</w:t>
            </w:r>
          </w:p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4"/>
                <w:szCs w:val="4"/>
                <w:lang w:val="it-IT" w:eastAsia="it-IT" w:bidi="ar-SA"/>
              </w:rPr>
            </w:r>
          </w:p>
        </w:tc>
      </w:tr>
      <w:tr>
        <w:trPr>
          <w:trHeight w:val="300" w:hRule="atLeast"/>
        </w:trPr>
        <w:tc>
          <w:tcPr>
            <w:tcW w:w="6675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4"/>
                <w:szCs w:val="4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b/>
                <w:bCs/>
                <w:color w:val="595959"/>
                <w:kern w:val="0"/>
                <w:sz w:val="19"/>
                <w:szCs w:val="19"/>
                <w:lang w:val="it-IT" w:eastAsia="it-IT" w:bidi="ar-SA"/>
              </w:rPr>
              <w:t>Iniziale = Livello 1</w:t>
            </w:r>
          </w:p>
          <w:p>
            <w:pPr>
              <w:pStyle w:val="Normal"/>
              <w:widowControl/>
              <w:spacing w:before="0" w:after="0"/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kern w:val="0"/>
                <w:sz w:val="19"/>
                <w:szCs w:val="19"/>
                <w:lang w:val="it-IT" w:eastAsia="it-IT" w:bidi="ar-SA"/>
              </w:rPr>
              <w:t>La competenza è in fase di avvio del processo di acquisizione e di prima formazione.</w:t>
            </w:r>
          </w:p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kern w:val="0"/>
                <w:sz w:val="4"/>
                <w:szCs w:val="4"/>
                <w:lang w:val="it-IT" w:eastAsia="it-IT" w:bidi="ar-SA"/>
              </w:rPr>
            </w:r>
          </w:p>
        </w:tc>
      </w:tr>
      <w:tr>
        <w:trPr>
          <w:trHeight w:val="300" w:hRule="atLeast"/>
        </w:trPr>
        <w:tc>
          <w:tcPr>
            <w:tcW w:w="6675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4"/>
                <w:szCs w:val="4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b/>
                <w:bCs/>
                <w:color w:val="595959"/>
                <w:kern w:val="0"/>
                <w:sz w:val="19"/>
                <w:szCs w:val="19"/>
                <w:lang w:val="it-IT" w:eastAsia="it-IT" w:bidi="ar-SA"/>
              </w:rPr>
              <w:t>In corso di formazione = Livello 2</w:t>
            </w:r>
          </w:p>
          <w:p>
            <w:pPr>
              <w:pStyle w:val="Normal"/>
              <w:widowControl/>
              <w:tabs>
                <w:tab w:val="clear" w:pos="708"/>
                <w:tab w:val="left" w:pos="2996" w:leader="none"/>
              </w:tabs>
              <w:spacing w:before="0" w:after="0"/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kern w:val="0"/>
                <w:sz w:val="19"/>
                <w:szCs w:val="19"/>
                <w:lang w:val="it-IT" w:eastAsia="it-IT" w:bidi="ar-SA"/>
              </w:rPr>
              <w:t>La competenza è in via di consolidamento e in progressione verso gli standard attesi.</w:t>
            </w:r>
          </w:p>
          <w:p>
            <w:pPr>
              <w:pStyle w:val="Normal"/>
              <w:widowControl/>
              <w:tabs>
                <w:tab w:val="clear" w:pos="708"/>
                <w:tab w:val="left" w:pos="2996" w:leader="none"/>
              </w:tabs>
              <w:spacing w:before="0" w:after="0"/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kern w:val="0"/>
                <w:sz w:val="20"/>
                <w:szCs w:val="20"/>
                <w:lang w:val="it-IT" w:eastAsia="it-IT" w:bidi="ar-SA"/>
              </w:rPr>
              <w:tab/>
            </w:r>
          </w:p>
        </w:tc>
      </w:tr>
      <w:tr>
        <w:trPr>
          <w:trHeight w:val="300" w:hRule="atLeast"/>
        </w:trPr>
        <w:tc>
          <w:tcPr>
            <w:tcW w:w="6675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4"/>
                <w:szCs w:val="4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b/>
                <w:bCs/>
                <w:color w:val="595959"/>
                <w:kern w:val="0"/>
                <w:sz w:val="19"/>
                <w:szCs w:val="19"/>
                <w:lang w:val="it-IT" w:eastAsia="it-IT" w:bidi="ar-SA"/>
              </w:rPr>
              <w:t>Standard atteso = Livello 3</w:t>
            </w:r>
          </w:p>
          <w:p>
            <w:pPr>
              <w:pStyle w:val="Normal"/>
              <w:widowControl/>
              <w:spacing w:before="0" w:after="0"/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kern w:val="0"/>
                <w:sz w:val="19"/>
                <w:szCs w:val="19"/>
                <w:lang w:val="it-IT" w:eastAsia="it-IT" w:bidi="ar-SA"/>
              </w:rPr>
              <w:t>La competenza è consolidata, consapevole e sicura.</w:t>
            </w:r>
          </w:p>
          <w:p>
            <w:pPr>
              <w:pStyle w:val="Normal"/>
              <w:widowControl/>
              <w:spacing w:before="0" w:after="0"/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kern w:val="0"/>
                <w:sz w:val="4"/>
                <w:szCs w:val="4"/>
                <w:lang w:val="it-IT" w:eastAsia="it-IT" w:bidi="ar-SA"/>
              </w:rPr>
            </w:r>
          </w:p>
        </w:tc>
      </w:tr>
      <w:tr>
        <w:trPr>
          <w:trHeight w:val="300" w:hRule="atLeast"/>
        </w:trPr>
        <w:tc>
          <w:tcPr>
            <w:tcW w:w="6675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4"/>
                <w:szCs w:val="4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b/>
                <w:bCs/>
                <w:color w:val="595959"/>
                <w:kern w:val="0"/>
                <w:sz w:val="19"/>
                <w:szCs w:val="19"/>
                <w:lang w:val="it-IT" w:eastAsia="it-IT" w:bidi="ar-SA"/>
              </w:rPr>
              <w:t>Esperto = Livello 4</w:t>
            </w:r>
          </w:p>
          <w:p>
            <w:pPr>
              <w:pStyle w:val="Normal"/>
              <w:widowControl/>
              <w:spacing w:before="0" w:after="0"/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kern w:val="0"/>
                <w:sz w:val="19"/>
                <w:szCs w:val="19"/>
                <w:lang w:val="it-IT" w:eastAsia="it-IT" w:bidi="ar-SA"/>
              </w:rPr>
              <w:t>La competenza è matura e accreditata e può essere messa a disposizione dei/delle colleghi/e e della scuola.</w:t>
            </w:r>
          </w:p>
          <w:p>
            <w:pPr>
              <w:pStyle w:val="Normal"/>
              <w:widowControl/>
              <w:spacing w:before="0" w:after="0"/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4"/>
                <w:szCs w:val="4"/>
                <w:lang w:val="it-IT" w:eastAsia="it-IT" w:bidi="ar-SA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0"/>
        <w:rPr/>
      </w:pPr>
      <w:r>
        <w:rPr/>
      </w:r>
    </w:p>
    <w:tbl>
      <w:tblPr>
        <w:tblStyle w:val="Grigliatabella1"/>
        <w:tblW w:w="9908" w:type="dxa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53"/>
        <w:gridCol w:w="108"/>
        <w:gridCol w:w="5219"/>
        <w:gridCol w:w="108"/>
        <w:gridCol w:w="2101"/>
        <w:gridCol w:w="18"/>
      </w:tblGrid>
      <w:tr>
        <w:trPr>
          <w:trHeight w:val="300" w:hRule="atLeast"/>
        </w:trPr>
        <w:tc>
          <w:tcPr>
            <w:tcW w:w="9889" w:type="dxa"/>
            <w:gridSpan w:val="5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AF1DD" w:themeFill="accent3" w:themeFillTint="33" w:val="clear"/>
          </w:tcPr>
          <w:p>
            <w:pPr>
              <w:pStyle w:val="Normal"/>
              <w:widowControl/>
              <w:spacing w:before="0" w:after="0"/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12"/>
                <w:szCs w:val="12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bCs/>
                <w:color w:themeColor="text1" w:val="000000"/>
                <w:sz w:val="28"/>
                <w:szCs w:val="28"/>
              </w:rPr>
            </w:pPr>
            <w:r>
              <w:rPr>
                <w:rFonts w:eastAsia="Arial" w:cs="Arial" w:ascii="Titillium Web" w:hAnsi="Titillium Web"/>
                <w:b/>
                <w:bCs/>
                <w:color w:themeColor="text1" w:val="000000"/>
                <w:kern w:val="0"/>
                <w:sz w:val="28"/>
                <w:szCs w:val="28"/>
                <w:lang w:val="it-IT" w:eastAsia="it-IT" w:bidi="ar-SA"/>
              </w:rPr>
              <w:t>A - DIDATTICA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bCs/>
                <w:color w:themeColor="text1" w:val="000000"/>
                <w:sz w:val="28"/>
                <w:szCs w:val="28"/>
              </w:rPr>
            </w:pPr>
            <w:r>
              <w:rPr>
                <w:rFonts w:eastAsia="Arial" w:cs="Arial" w:ascii="Titillium Web" w:hAnsi="Titillium Web"/>
                <w:b/>
                <w:bCs/>
                <w:color w:themeColor="text1" w:val="000000"/>
                <w:kern w:val="0"/>
                <w:sz w:val="28"/>
                <w:szCs w:val="28"/>
                <w:lang w:val="it-IT" w:eastAsia="it-IT" w:bidi="ar-SA"/>
              </w:rPr>
              <w:t>Area delle competenze didattiche, metodologiche e relazionali</w:t>
            </w:r>
          </w:p>
          <w:p>
            <w:pPr>
              <w:pStyle w:val="Normal"/>
              <w:widowControl/>
              <w:spacing w:before="0" w:after="0"/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12"/>
                <w:szCs w:val="12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-113" w:right="-119"/>
              <w:jc w:val="center"/>
              <w:rPr>
                <w:rFonts w:ascii="Titillium Web" w:hAnsi="Titillium Web"/>
                <w:i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eastAsia="Arial" w:cs="Arial" w:ascii="Titillium Web" w:hAnsi="Titillium Web"/>
                <w:i/>
                <w:color w:val="000000"/>
                <w:kern w:val="0"/>
                <w:sz w:val="24"/>
                <w:szCs w:val="24"/>
                <w:lang w:val="en-US" w:eastAsia="it-IT" w:bidi="ar-SA"/>
              </w:rPr>
              <w:t>Standard minimi</w:t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-113" w:right="-119"/>
              <w:jc w:val="center"/>
              <w:rPr>
                <w:rFonts w:ascii="Titillium Web" w:hAnsi="Titillium Web"/>
                <w:i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eastAsia="Arial" w:cs="Arial" w:ascii="Titillium Web" w:hAnsi="Titillium Web"/>
                <w:i/>
                <w:color w:val="000000"/>
                <w:kern w:val="0"/>
                <w:sz w:val="24"/>
                <w:szCs w:val="24"/>
                <w:lang w:val="en-US" w:eastAsia="it-IT" w:bidi="ar-SA"/>
              </w:rPr>
              <w:t>Indicatori delle competenze professionali</w:t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6"/>
                <w:szCs w:val="6"/>
                <w:lang w:val="en-US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ind w:left="-113" w:right="-119"/>
              <w:jc w:val="center"/>
              <w:rPr>
                <w:rFonts w:ascii="Titillium Web" w:hAnsi="Titillium Web"/>
                <w:i/>
                <w:i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="Arial" w:ascii="Titillium Web" w:hAnsi="Titillium Web"/>
                <w:i/>
                <w:color w:val="000000"/>
                <w:kern w:val="0"/>
                <w:sz w:val="22"/>
                <w:szCs w:val="22"/>
                <w:lang w:val="en-US" w:eastAsia="it-IT" w:bidi="ar-SA"/>
              </w:rPr>
              <w:t>Posizionamento</w:t>
            </w:r>
          </w:p>
          <w:p>
            <w:pPr>
              <w:pStyle w:val="Normal"/>
              <w:widowControl/>
              <w:spacing w:lineRule="auto" w:line="216" w:before="0" w:after="0"/>
              <w:ind w:left="-113" w:right="-119"/>
              <w:jc w:val="center"/>
              <w:rPr>
                <w:rFonts w:ascii="Titillium Web" w:hAnsi="Titillium Web"/>
                <w:i/>
                <w:i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="Arial" w:ascii="Titillium Web" w:hAnsi="Titillium Web"/>
                <w:i/>
                <w:color w:val="000000"/>
                <w:kern w:val="0"/>
                <w:sz w:val="22"/>
                <w:szCs w:val="22"/>
                <w:lang w:val="en-US" w:eastAsia="it-IT" w:bidi="ar-SA"/>
              </w:rPr>
              <w:t>livello</w:t>
            </w:r>
          </w:p>
          <w:p>
            <w:pPr>
              <w:pStyle w:val="Normal"/>
              <w:widowControl/>
              <w:spacing w:lineRule="auto" w:line="216" w:before="0" w:after="0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en-US" w:eastAsia="it-IT" w:bidi="ar-SA"/>
              </w:rPr>
              <w:t xml:space="preserve">(scala: 0 </w:t>
            </w:r>
            <w:r>
              <w:rPr>
                <w:rFonts w:eastAsia="Arial" w:cs="Arial" w:ascii="Titillium Web" w:hAnsi="Titillium Web"/>
                <w:color w:themeColor="background1" w:themeShade="80" w:val="808080"/>
                <w:kern w:val="0"/>
                <w:sz w:val="20"/>
                <w:szCs w:val="20"/>
                <w:lang w:val="en-US" w:eastAsia="it-IT" w:bidi="ar-SA"/>
              </w:rPr>
              <w:t>-</w:t>
            </w: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en-US" w:eastAsia="it-IT" w:bidi="ar-SA"/>
              </w:rPr>
              <w:t xml:space="preserve"> 1 </w:t>
            </w:r>
            <w:r>
              <w:rPr>
                <w:rFonts w:eastAsia="Arial" w:cs="Arial" w:ascii="Titillium Web" w:hAnsi="Titillium Web"/>
                <w:color w:themeColor="background1" w:themeShade="a6" w:val="A6A6A6"/>
                <w:kern w:val="0"/>
                <w:sz w:val="20"/>
                <w:szCs w:val="20"/>
                <w:lang w:val="en-US" w:eastAsia="it-IT" w:bidi="ar-SA"/>
              </w:rPr>
              <w:t>-</w:t>
            </w: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en-US" w:eastAsia="it-IT" w:bidi="ar-SA"/>
              </w:rPr>
              <w:t xml:space="preserve"> 2 </w:t>
            </w:r>
            <w:r>
              <w:rPr>
                <w:rFonts w:eastAsia="Arial" w:cs="Arial" w:ascii="Titillium Web" w:hAnsi="Titillium Web"/>
                <w:color w:themeColor="background1" w:themeShade="a6" w:val="A6A6A6"/>
                <w:kern w:val="0"/>
                <w:sz w:val="20"/>
                <w:szCs w:val="20"/>
                <w:lang w:val="en-US" w:eastAsia="it-IT" w:bidi="ar-SA"/>
              </w:rPr>
              <w:t>-</w:t>
            </w: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en-US" w:eastAsia="it-IT" w:bidi="ar-SA"/>
              </w:rPr>
              <w:t xml:space="preserve"> 3 </w:t>
            </w:r>
            <w:r>
              <w:rPr>
                <w:rFonts w:eastAsia="Arial" w:cs="Arial" w:ascii="Titillium Web" w:hAnsi="Titillium Web"/>
                <w:color w:themeColor="background1" w:themeShade="a6" w:val="A6A6A6"/>
                <w:kern w:val="0"/>
                <w:sz w:val="20"/>
                <w:szCs w:val="20"/>
                <w:lang w:val="en-US" w:eastAsia="it-IT" w:bidi="ar-SA"/>
              </w:rPr>
              <w:t>-</w:t>
            </w: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en-US" w:eastAsia="it-IT" w:bidi="ar-SA"/>
              </w:rPr>
              <w:t xml:space="preserve"> 4)</w:t>
            </w:r>
          </w:p>
          <w:p>
            <w:pPr>
              <w:pStyle w:val="Normal"/>
              <w:widowControl/>
              <w:spacing w:lineRule="auto" w:line="216" w:before="0" w:after="0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6"/>
                <w:szCs w:val="6"/>
                <w:lang w:val="en-US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40"/>
                <w:szCs w:val="40"/>
                <w:lang w:val="it-IT" w:eastAsia="it-IT" w:bidi="ar-SA"/>
              </w:rPr>
              <w:t>1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Progettare e gestire situazioni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di apprendimento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che promuovano le otto competenze chiave europee per un apprendimento permanente, trasformando l’insegnamento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in esperienze significative e critiche, anche attraverso l’utilizzo di strumenti digitali e didattici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in presenza e a distanza, e utilizzando strumenti di lavoro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per documentare, valutare e certificare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le competenze personali di studenti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studentesse, anche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in prospettiva orientativa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ind w:left="28" w:right="28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ind w:left="28" w:right="28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>
            <w:pPr>
              <w:pStyle w:val="Normal"/>
              <w:widowControl/>
              <w:spacing w:lineRule="auto" w:line="192" w:before="0" w:after="0"/>
              <w:ind w:left="28" w:right="26"/>
              <w:jc w:val="both"/>
              <w:rPr>
                <w:rFonts w:ascii="Titillium Web" w:hAnsi="Titillium Web"/>
                <w:color w:themeColor="text1" w:val="000000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Integrare nella progettazione didattica i traguardi di competenza previsti dalla normativa per l’Educazione civica.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Pianificare ed organizzare attività di orientamento formative.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Individualizzare e/o personalizzare i percorsi di apprendimento a seconda dei diversi bisogni di studenti e studentesse adattando l’insegnamento e le attività in funzione delle differenze individuali e delle diverse modalità di apprendimento e degli obiettivi di apprendimento raggiunti dal gruppo-classe.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8"/>
                <w:szCs w:val="8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Attuare l’insegnamento seguendo un piano organizzato e strutturato che associ contenuti a relativi obiettivi di apprendimento.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8"/>
                <w:szCs w:val="8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631" w:hRule="atLeast"/>
        </w:trPr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lineRule="atLeast" w:line="16" w:before="0" w:after="0"/>
              <w:jc w:val="left"/>
              <w:rPr>
                <w:rFonts w:ascii="Titillium Web" w:hAnsi="Titillium Web"/>
                <w:color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Gestire i tempi di svolgimento di un’attività di apprendimento e il passaggio tra un’attività e un’altra. 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kern w:val="0"/>
                <w:sz w:val="12"/>
                <w:szCs w:val="12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tLeast" w:line="16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12"/>
                <w:szCs w:val="12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Utilizzare mediatori didattici</w:t>
            </w:r>
            <w:r>
              <w:rPr>
                <w:rStyle w:val="EndnoteReference"/>
                <w:rFonts w:eastAsia="Arial" w:cs="Arial" w:ascii="Titillium Web" w:hAnsi="Titillium Web"/>
                <w:b/>
                <w:color w:themeColor="text1" w:val="000000"/>
                <w:kern w:val="0"/>
                <w:sz w:val="20"/>
                <w:szCs w:val="20"/>
                <w:lang w:val="en-US" w:eastAsia="it-IT" w:bidi="ar-SA"/>
              </w:rPr>
              <w:endnoteReference w:id="2"/>
            </w: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, tecnologie digitali, ambienti virtuali e approcci innovativi come strumenti compensativi quali azioni/strumenti di supporto all’insegnamento e alle attività didattiche.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12"/>
                <w:szCs w:val="12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577" w:hRule="atLeast"/>
        </w:trPr>
        <w:tc>
          <w:tcPr>
            <w:tcW w:w="2461" w:type="dxa"/>
            <w:gridSpan w:val="2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val="7030A0"/>
              </w:rPr>
            </w:pPr>
            <w:r>
              <w:rPr>
                <w:rFonts w:eastAsia="Arial" w:cs="Arial" w:ascii="Titillium Web" w:hAnsi="Titillium Web"/>
                <w:b/>
                <w:color w:val="7030A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40"/>
                <w:szCs w:val="40"/>
                <w:lang w:val="it-IT" w:eastAsia="it-IT" w:bidi="ar-SA"/>
              </w:rPr>
              <w:t>2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595959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Adottare e adattare strategie e metodi didattici, compresi quelli personalizzati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per l’inclusione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di studenti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studentesse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con disabilità e bisogni educativi speciali, integrando epistemologie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metodologie disciplinari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interdisciplinari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  <w:lang w:val="en-US"/>
              </w:rPr>
            </w:pPr>
            <w:r>
              <w:rPr>
                <w:rFonts w:eastAsia="Arial" w:cs="Arial" w:ascii="Arial" w:hAnsi="Arial"/>
                <w:kern w:val="0"/>
                <w:sz w:val="28"/>
                <w:szCs w:val="28"/>
                <w:lang w:val="en-US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827" w:hRule="atLeast"/>
        </w:trPr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Alternare e variare i dispositivi e i materiali didattici all’interno del percorso didattico delle singole unità di apprendimento.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493" w:hRule="atLeast"/>
        </w:trPr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Monitorare </w:t>
            </w:r>
            <w:r>
              <w:rPr>
                <w:rFonts w:eastAsia="Arial" w:cs="Arial" w:ascii="Titillium Web" w:hAnsi="Titillium Web"/>
                <w:i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in itinere</w:t>
            </w: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, revisionare e riprogettare le attività didattiche.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12"/>
                <w:szCs w:val="12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1182" w:hRule="atLeast"/>
        </w:trPr>
        <w:tc>
          <w:tcPr>
            <w:tcW w:w="2461" w:type="dxa"/>
            <w:gridSpan w:val="2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40"/>
                <w:szCs w:val="40"/>
                <w:lang w:val="it-IT" w:eastAsia="it-IT" w:bidi="ar-SA"/>
              </w:rPr>
              <w:t>3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Adottare strategie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metodi di valutazione per promuovere l’apprendimento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4"/>
                <w:szCs w:val="14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4"/>
                <w:szCs w:val="14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Implementare strumenti di valutazione formativa </w:t>
            </w:r>
            <w:r>
              <w:rPr>
                <w:rFonts w:eastAsia="Arial" w:cs="Arial" w:ascii="Titillium Web" w:hAnsi="Titillium Web"/>
                <w:i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in itinere</w:t>
            </w: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 per monitorare i progressi di studenti e studentesse in relazione agli obiettivi didattici definiti in partenza.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Variare e alternare prove di verifica di diversa tipologia.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4"/>
                <w:szCs w:val="14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i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Per l’infanzia</w:t>
            </w: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: esplicitare con chiarezza e con un linguaggio adeguato all’età di alunni e alunne gli obiettivi delle attività proposte.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4"/>
                <w:szCs w:val="14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Assicurare a studenti e studentesse </w:t>
            </w:r>
            <w:r>
              <w:rPr>
                <w:rFonts w:eastAsia="Arial" w:cs="Arial" w:ascii="Titillium Web" w:hAnsi="Titillium Web"/>
                <w:i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feedback</w:t>
            </w: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 formativi così da promuovere il miglioramento dei processi educativi e la crescita di ognuno/a.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40"/>
                <w:szCs w:val="40"/>
                <w:lang w:val="it-IT" w:eastAsia="it-IT" w:bidi="ar-SA"/>
              </w:rPr>
              <w:t>4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Gestire relazioni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comportamenti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in classe per favorire l’apprendimento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in un clima disteso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collaborativo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10"/>
                <w:szCs w:val="1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4"/>
                <w:szCs w:val="14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Promuovere in studenti e studentesse l’apprendimento collaborativo e/o cooperativo.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Implementare attività di apprendimento autonomo e di studio autoregolato.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4"/>
                <w:szCs w:val="14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Individuare e condividere regole di comportamento e forme di comunicazione che tengano conto delle diversità e facilitino il superamento di eventuali situazioni problematiche.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1329" w:hRule="atLeast"/>
        </w:trPr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4"/>
                <w:szCs w:val="14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300" w:hRule="atLeast"/>
        </w:trPr>
        <w:tc>
          <w:tcPr>
            <w:tcW w:w="9889" w:type="dxa"/>
            <w:gridSpan w:val="5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AF1DD" w:themeFill="accent3" w:themeFillTint="33" w:val="clear"/>
            <w:vAlign w:val="center"/>
          </w:tcPr>
          <w:p>
            <w:pPr>
              <w:pStyle w:val="Normal"/>
              <w:widowControl/>
              <w:spacing w:before="0" w:after="0"/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bCs/>
                <w:color w:themeColor="text1" w:val="000000"/>
                <w:sz w:val="28"/>
                <w:szCs w:val="28"/>
              </w:rPr>
            </w:pPr>
            <w:r>
              <w:rPr>
                <w:rFonts w:eastAsia="Arial" w:cs="Arial" w:ascii="Titillium Web" w:hAnsi="Titillium Web"/>
                <w:b/>
                <w:bCs/>
                <w:color w:themeColor="text1" w:val="000000"/>
                <w:kern w:val="0"/>
                <w:sz w:val="28"/>
                <w:szCs w:val="28"/>
                <w:lang w:val="it-IT" w:eastAsia="it-IT" w:bidi="ar-SA"/>
              </w:rPr>
              <w:t>B - ISTITUZIONE-COMUNITÀ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bCs/>
                <w:color w:themeColor="text1" w:val="000000"/>
                <w:sz w:val="28"/>
                <w:szCs w:val="28"/>
              </w:rPr>
            </w:pPr>
            <w:r>
              <w:rPr>
                <w:rFonts w:eastAsia="Arial" w:cs="Arial" w:ascii="Titillium Web" w:hAnsi="Titillium Web"/>
                <w:b/>
                <w:bCs/>
                <w:color w:themeColor="text1" w:val="000000"/>
                <w:kern w:val="0"/>
                <w:sz w:val="28"/>
                <w:szCs w:val="28"/>
                <w:lang w:val="it-IT" w:eastAsia="it-IT" w:bidi="ar-SA"/>
              </w:rPr>
              <w:t>Area delle competenze relative alla partecipazione alla vita della scuola e del contesto sociale</w:t>
            </w:r>
          </w:p>
          <w:p>
            <w:pPr>
              <w:pStyle w:val="Normal"/>
              <w:widowControl/>
              <w:spacing w:before="0" w:after="0"/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8"/>
                <w:szCs w:val="8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736" w:hRule="atLeast"/>
        </w:trPr>
        <w:tc>
          <w:tcPr>
            <w:tcW w:w="2461" w:type="dxa"/>
            <w:gridSpan w:val="2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40"/>
                <w:szCs w:val="40"/>
                <w:lang w:val="it-IT" w:eastAsia="it-IT" w:bidi="ar-SA"/>
              </w:rPr>
              <w:t>5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595959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Partecipare attivamente all’esperienza professionale organizzata a scuola, comprendendo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applicando funzioni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modalità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della valutazione interna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ed esterna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degli apprendimenti formali, non formali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informali</w:t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Conoscere il funzionamento dell’organizzazione della scuola e il contesto socioculturale ed economico in cui essa agisce.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  <w:sz w:val="16"/>
                <w:szCs w:val="1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6"/>
                <w:szCs w:val="16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  <w:shd w:fill="D9E1F2" w:val="clear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Partecipare alla realizzazione delle iniziative educative deliberate e organizzate dalla scuola e/o proporne di nuove.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4"/>
                <w:szCs w:val="4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shd w:fill="D9E1F2" w:val="clear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Partecipare attivamente all’organizzazione e alla gestione della scuola, lavorando in sinergia con il/la Dirigente e in collaborazione con il personale scolastico.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  <w:sz w:val="16"/>
                <w:szCs w:val="1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6"/>
                <w:szCs w:val="16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i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Per l’infanzia</w:t>
            </w: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: favorire la partecipazione di bambini e bambine alle attività scolastiche legate alle </w:t>
            </w:r>
            <w:r>
              <w:rPr>
                <w:rFonts w:eastAsia="Arial" w:cs="Arial" w:ascii="Titillium Web" w:hAnsi="Titillium Web"/>
                <w:i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routine</w:t>
            </w: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 quotidiane, tenendo conto dell’età, delle inclinazioni di ognuno/a oltreché del contesto socioculturale e territoriale in cui la scuola agisce.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  <w:sz w:val="16"/>
                <w:szCs w:val="1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6"/>
                <w:szCs w:val="16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671" w:hRule="atLeast"/>
        </w:trPr>
        <w:tc>
          <w:tcPr>
            <w:tcW w:w="2461" w:type="dxa"/>
            <w:gridSpan w:val="2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40"/>
                <w:szCs w:val="40"/>
                <w:lang w:val="it-IT" w:eastAsia="it-IT" w:bidi="ar-SA"/>
              </w:rPr>
              <w:t>6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color w:val="595959"/>
                <w:sz w:val="8"/>
                <w:szCs w:val="8"/>
              </w:rPr>
            </w:pPr>
            <w:r>
              <w:rPr>
                <w:rFonts w:eastAsia="Arial" w:cs="Arial" w:ascii="Arial" w:hAnsi="Arial"/>
                <w:color w:val="595959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Lavorare in modo collaborativo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con la comunità professionale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della scuola</w:t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Collaborare alla creazione di gruppi di lavoro tra docenti e/o prendervi attivamente parte.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  <w:sz w:val="16"/>
                <w:szCs w:val="1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6"/>
                <w:szCs w:val="16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Coinvolgere in modo attivo altre figure presenti nella comunità educante.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40"/>
                <w:szCs w:val="40"/>
                <w:lang w:val="it-IT" w:eastAsia="it-IT" w:bidi="ar-SA"/>
              </w:rPr>
              <w:t>7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color w:val="595959"/>
                <w:sz w:val="8"/>
                <w:szCs w:val="8"/>
              </w:rPr>
            </w:pPr>
            <w:r>
              <w:rPr>
                <w:rFonts w:eastAsia="Arial" w:cs="Arial" w:ascii="Arial" w:hAnsi="Arial"/>
                <w:color w:val="595959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 xml:space="preserve">Instaurare rapporti positivi con i familiari di studenti 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studentesse e con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 partner istituzionali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sociali</w:t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Favorire la partecipazione dei fam</w:t>
            </w:r>
            <w:r>
              <w:rPr>
                <w:rFonts w:eastAsia="Arial" w:cs="Arial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ig</w:t>
            </w: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liari di studenti e studentesse alla vita organizzativa della scuola.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4"/>
                <w:szCs w:val="4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Cooperare con altre figure professionali coinvolte a vario titolo nei processi di apprendimento e di sviluppo di studenti e studentesse.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461" w:type="dxa"/>
            <w:gridSpan w:val="2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  <w:sz w:val="18"/>
                <w:szCs w:val="1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8"/>
                <w:szCs w:val="16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themeColor="text1" w:val="000000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6"/>
                <w:szCs w:val="6"/>
                <w:lang w:val="it-IT" w:eastAsia="it-IT" w:bidi="ar-SA"/>
              </w:rPr>
            </w:r>
          </w:p>
        </w:tc>
        <w:tc>
          <w:tcPr>
            <w:tcW w:w="2101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>
          <w:trHeight w:val="300" w:hRule="atLeast"/>
        </w:trPr>
        <w:tc>
          <w:tcPr>
            <w:tcW w:w="9907" w:type="dxa"/>
            <w:gridSpan w:val="6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AF1DD" w:themeFill="accent3" w:themeFillTint="33" w:val="clear"/>
            <w:vAlign w:val="center"/>
          </w:tcPr>
          <w:p>
            <w:pPr>
              <w:pStyle w:val="Normal"/>
              <w:widowControl/>
              <w:spacing w:before="0" w:after="0"/>
              <w:ind w:left="-113" w:right="-119"/>
              <w:jc w:val="center"/>
              <w:rPr>
                <w:rFonts w:ascii="Titillium Web" w:hAnsi="Titillium Web"/>
                <w:b/>
                <w:color w:themeColor="text1"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b/>
                <w:color w:themeColor="text1" w:val="000000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bCs/>
                <w:color w:themeColor="text1" w:val="000000"/>
                <w:sz w:val="28"/>
                <w:szCs w:val="28"/>
              </w:rPr>
            </w:pPr>
            <w:r>
              <w:rPr>
                <w:rFonts w:eastAsia="Arial" w:cs="Arial" w:ascii="Titillium Web" w:hAnsi="Titillium Web"/>
                <w:b/>
                <w:bCs/>
                <w:color w:themeColor="text1" w:val="000000"/>
                <w:kern w:val="0"/>
                <w:sz w:val="28"/>
                <w:szCs w:val="28"/>
                <w:lang w:val="it-IT" w:eastAsia="it-IT" w:bidi="ar-SA"/>
              </w:rPr>
              <w:t>C - PROFESSIONE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bCs/>
                <w:i/>
                <w:i/>
                <w:iCs/>
                <w:color w:themeColor="text1" w:val="000000"/>
              </w:rPr>
            </w:pPr>
            <w:r>
              <w:rPr>
                <w:rFonts w:eastAsia="Arial" w:cs="Arial" w:ascii="Titillium Web" w:hAnsi="Titillium Web"/>
                <w:b/>
                <w:bCs/>
                <w:i/>
                <w:i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Area della formazione continua, della cura della professionalità e dello sviluppo di nuove responsabilità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color w:themeColor="text1" w:val="000000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b/>
                <w:color w:themeColor="text1" w:val="000000"/>
                <w:kern w:val="0"/>
                <w:sz w:val="8"/>
                <w:szCs w:val="8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center"/>
              <w:rPr>
                <w:rFonts w:ascii="Titillium Web" w:hAnsi="Titillium Web"/>
                <w:b/>
                <w:color w:themeColor="text2" w:themeShade="bf" w:val="17365D"/>
              </w:rPr>
            </w:pPr>
            <w:r>
              <w:rPr>
                <w:rFonts w:eastAsia="Arial" w:cs="Arial" w:ascii="Titillium Web" w:hAnsi="Titillium Web"/>
                <w:b/>
                <w:color w:themeColor="text2" w:themeShade="bf" w:val="17365D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32"/>
                <w:szCs w:val="32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180" w:before="0" w:after="0"/>
              <w:jc w:val="center"/>
              <w:rPr>
                <w:rFonts w:ascii="Titillium Web" w:hAnsi="Titillium Web"/>
                <w:b/>
                <w:color w:themeColor="accent4" w:themeShade="bf" w:val="5F497A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themeColor="accent4" w:themeShade="bf" w:val="5F497A"/>
                <w:kern w:val="0"/>
                <w:sz w:val="40"/>
                <w:szCs w:val="40"/>
                <w:lang w:val="it-IT" w:eastAsia="it-IT" w:bidi="ar-SA"/>
              </w:rPr>
              <w:t>8</w:t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center"/>
              <w:rPr>
                <w:color w:val="595959"/>
                <w:sz w:val="8"/>
                <w:szCs w:val="8"/>
              </w:rPr>
            </w:pPr>
            <w:r>
              <w:rPr>
                <w:rFonts w:eastAsia="Arial" w:cs="Arial" w:ascii="Arial" w:hAnsi="Arial"/>
                <w:color w:val="595959"/>
                <w:kern w:val="0"/>
                <w:sz w:val="8"/>
                <w:szCs w:val="8"/>
                <w:lang w:val="it-IT" w:eastAsia="it-IT" w:bidi="ar-SA"/>
              </w:rPr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Impegnarsi</w:t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nella formazione continua</w:t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nello sviluppo professionale, integrando i nuclei basilari dei saperi</w:t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della didattica specifici per i propri insegnamenti,</w:t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con la capacità</w:t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di progettare didatticamente e gestire con flessibilità gruppi-classe/interclasse</w:t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per la personalizzazione e valorizzazione</w:t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dei talenti e lo sviluppo di competenze trasversali</w:t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comunicative</w:t>
            </w:r>
          </w:p>
          <w:p>
            <w:pPr>
              <w:pStyle w:val="Normal"/>
              <w:widowControl/>
              <w:shd w:val="clear" w:color="auto" w:fill="E5DFEC" w:themeFill="accent4" w:themeFillTint="33"/>
              <w:spacing w:lineRule="auto" w:line="216" w:before="0" w:after="0"/>
              <w:jc w:val="left"/>
              <w:rPr>
                <w:rFonts w:ascii="Titillium Web" w:hAnsi="Titillium Web"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12"/>
                <w:szCs w:val="12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Partecipare periodicamente ad attività di formazione e di aggiornamento.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</w:tc>
        <w:tc>
          <w:tcPr>
            <w:tcW w:w="2227" w:type="dxa"/>
            <w:gridSpan w:val="3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Utilizzare fonti culturali diverse per potenziare conoscenze e competenze di insegnamento.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</w:tc>
        <w:tc>
          <w:tcPr>
            <w:tcW w:w="2227" w:type="dxa"/>
            <w:gridSpan w:val="3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Attivare collaborazioni professionalizzanti tra colleghi/e della propria scuola o di altre istituzioni educative nazionali ed internazionali.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</w:tc>
        <w:tc>
          <w:tcPr>
            <w:tcW w:w="2227" w:type="dxa"/>
            <w:gridSpan w:val="3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Utilizzare le esperienze di crescita professionale per riprogettare l’azione didattica.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</w:tc>
        <w:tc>
          <w:tcPr>
            <w:tcW w:w="2227" w:type="dxa"/>
            <w:gridSpan w:val="3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</w:tc>
        <w:tc>
          <w:tcPr>
            <w:tcW w:w="2227" w:type="dxa"/>
            <w:gridSpan w:val="3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E5DFEC" w:themeFill="accent4" w:themeFillTint="33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7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0"/>
                <w:szCs w:val="1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themeColor="text1" w:val="000000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Monitorare con metodicità il proprio sviluppo professionale in un’ottica di formazione continua.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themeColor="text1"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themeColor="text1" w:val="000000"/>
                <w:kern w:val="0"/>
                <w:sz w:val="12"/>
                <w:szCs w:val="12"/>
                <w:lang w:val="it-IT" w:eastAsia="it-IT" w:bidi="ar-SA"/>
              </w:rPr>
            </w:r>
          </w:p>
        </w:tc>
        <w:tc>
          <w:tcPr>
            <w:tcW w:w="2227" w:type="dxa"/>
            <w:gridSpan w:val="3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endnotePr>
        <w:pos w:val="sectEnd"/>
        <w:numFmt w:val="decimal"/>
      </w:endnotePr>
      <w:type w:val="nextPage"/>
      <w:pgSz w:w="11906" w:h="16838"/>
      <w:pgMar w:left="1134" w:right="1134" w:gutter="0" w:header="0" w:top="142" w:footer="922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Text"/>
        <w:rPr/>
      </w:pPr>
      <w:r>
        <w:rPr>
          <w:rStyle w:val="Caratterinotadichiusura"/>
        </w:rPr>
        <w:endnoteRef/>
      </w:r>
      <w:r>
        <w:rPr/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tillium Web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inline distT="0" distB="0" distL="0" distR="0">
          <wp:extent cx="6116320" cy="865505"/>
          <wp:effectExtent l="0" t="0" r="0" b="0"/>
          <wp:docPr id="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3" descr="Immagine che contiene testo, schermata, Caratter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inline distT="0" distB="0" distL="0" distR="0">
          <wp:extent cx="6116320" cy="865505"/>
          <wp:effectExtent l="0" t="0" r="0" b="0"/>
          <wp:docPr id="7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2" descr="Immagine che contiene testo, schermata, Caratter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98870" cy="10008870"/>
              <wp:effectExtent l="0" t="0" r="0" b="0"/>
              <wp:wrapNone/>
              <wp:docPr id="3" name="WordPictureWatermark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WordPictureWatermark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6198840" cy="10008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2" o:spid="shape_0" stroked="f" o:allowincell="f" style="position:absolute;margin-left:0.05pt;margin-top:0pt;width:488.05pt;height:788.05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6116320" cy="872490"/>
          <wp:effectExtent l="0" t="0" r="0" b="0"/>
          <wp:docPr id="5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7" descr="Immagine che contiene testo, Carattere, schermata, line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872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81"/>
  <w:defaultTabStop w:val="708"/>
  <w:autoHyphenation w:val="true"/>
  <w:hyphenationZone w:val="0"/>
  <w:endnotePr>
    <w:pos w:val="sectEnd"/>
    <w:numFmt w:val="decimal"/>
    <w:endnote w:id="0"/>
    <w:endnote w:id="1"/>
  </w:endnotePr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47c5"/>
    <w:pPr>
      <w:widowControl/>
      <w:bidi w:val="0"/>
      <w:spacing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362fde"/>
    <w:rPr/>
  </w:style>
  <w:style w:type="character" w:styleId="PidipaginaCarattere" w:customStyle="1">
    <w:name w:val="Piè di pagina Carattere"/>
    <w:basedOn w:val="DefaultParagraphFont"/>
    <w:uiPriority w:val="99"/>
    <w:qFormat/>
    <w:rsid w:val="00362fde"/>
    <w:rPr/>
  </w:style>
  <w:style w:type="character" w:styleId="TestonotadichiusuraCarattere" w:customStyle="1">
    <w:name w:val="Testo nota di chiusura Carattere"/>
    <w:basedOn w:val="DefaultParagraphFont"/>
    <w:uiPriority w:val="99"/>
    <w:qFormat/>
    <w:rsid w:val="00db342a"/>
    <w:rPr>
      <w:sz w:val="20"/>
      <w:szCs w:val="20"/>
    </w:rPr>
  </w:style>
  <w:style w:type="character" w:styleId="Caratterinotadichiusura">
    <w:name w:val="Caratteri nota di chiusura"/>
    <w:basedOn w:val="DefaultParagraphFont"/>
    <w:uiPriority w:val="99"/>
    <w:semiHidden/>
    <w:unhideWhenUsed/>
    <w:qFormat/>
    <w:rsid w:val="00db342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apidipagina">
    <w:name w:val="Caratteri nota a piè di pagin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362fd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362fd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EndnoteText">
    <w:name w:val="endnote text"/>
    <w:basedOn w:val="Normal"/>
    <w:link w:val="TestonotadichiusuraCarattere"/>
    <w:uiPriority w:val="99"/>
    <w:unhideWhenUsed/>
    <w:rsid w:val="00db342a"/>
    <w:pPr/>
    <w:rPr>
      <w:sz w:val="20"/>
      <w:szCs w:val="20"/>
    </w:rPr>
  </w:style>
  <w:style w:type="paragraph" w:styleId="Revision">
    <w:name w:val="Revision"/>
    <w:uiPriority w:val="99"/>
    <w:semiHidden/>
    <w:qFormat/>
    <w:rsid w:val="00bb0860"/>
    <w:pPr>
      <w:widowControl/>
      <w:bidi w:val="0"/>
      <w:spacing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4"/>
      <w:szCs w:val="24"/>
      <w:lang w:val="it-IT" w:eastAsia="it-IT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8d319f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uiPriority w:val="39"/>
    <w:rsid w:val="00db342a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endnotes" Target="endnotes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<Relationship Id="rId15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7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4.xml><?xml version="1.0" encoding="utf-8"?>
<ds:datastoreItem xmlns:ds="http://schemas.openxmlformats.org/officeDocument/2006/customXml" ds:itemID="{532D391B-5F24-47B7-8E93-A6DADDDB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LibreOffice/25.2.6.2$Windows_X86_64 LibreOffice_project/729c5bfe710f5eb71ed3bbde9e06a6065e9c6c5d</Application>
  <AppVersion>15.0000</AppVersion>
  <Pages>3</Pages>
  <Words>1242</Words>
  <Characters>8627</Characters>
  <CharactersWithSpaces>9745</CharactersWithSpaces>
  <Paragraphs>136</Paragraphs>
  <Company>INDIRE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2025-10-30T14:37:00Z</dcterms:created>
  <dc:creator>LORENZO CALISTRI</dc:creator>
  <dc:description/>
  <dc:language>it-IT</dc:language>
  <cp:lastModifiedBy>g.izzo</cp:lastModifiedBy>
  <cp:lastPrinted>2023-11-14T13:20:00Z</cp:lastPrinted>
  <dcterms:modified xsi:type="dcterms:W3CDTF">2025-10-30T14:37:00Z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